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1FB7C" w14:textId="77777777" w:rsidR="00184FF0" w:rsidRDefault="00184FF0" w:rsidP="00184FF0">
      <w:pPr>
        <w:spacing w:after="0" w:line="240" w:lineRule="auto"/>
        <w:ind w:left="567"/>
        <w:jc w:val="center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:lang w:eastAsia="sk-SK"/>
        </w:rPr>
      </w:pPr>
    </w:p>
    <w:p w14:paraId="0B9DBE50" w14:textId="33CF5A25" w:rsidR="00184FF0" w:rsidRPr="00184FF0" w:rsidRDefault="00184FF0" w:rsidP="00184FF0">
      <w:pPr>
        <w:spacing w:after="0" w:line="240" w:lineRule="auto"/>
        <w:ind w:left="567"/>
        <w:jc w:val="center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:lang w:eastAsia="sk-SK"/>
        </w:rPr>
      </w:pPr>
      <w:r w:rsidRPr="00184FF0">
        <w:rPr>
          <w:rFonts w:ascii="Calibri" w:eastAsia="Times New Roman" w:hAnsi="Calibri" w:cs="Calibri"/>
          <w:b/>
          <w:bCs/>
          <w:kern w:val="36"/>
          <w:sz w:val="32"/>
          <w:szCs w:val="32"/>
          <w:lang w:eastAsia="sk-SK"/>
        </w:rPr>
        <w:t>Energetický mix dodávateľa elektriny VAŠA s.r.o.</w:t>
      </w:r>
    </w:p>
    <w:p w14:paraId="3D9AADFF" w14:textId="77777777" w:rsidR="00184FF0" w:rsidRPr="00184FF0" w:rsidRDefault="00184FF0" w:rsidP="00184FF0">
      <w:pPr>
        <w:spacing w:after="0" w:line="240" w:lineRule="auto"/>
        <w:ind w:left="567"/>
        <w:jc w:val="center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:lang w:eastAsia="sk-SK"/>
        </w:rPr>
      </w:pPr>
      <w:r w:rsidRPr="00184FF0">
        <w:rPr>
          <w:rFonts w:ascii="Calibri" w:eastAsia="Times New Roman" w:hAnsi="Calibri" w:cs="Calibri"/>
          <w:b/>
          <w:bCs/>
          <w:kern w:val="36"/>
          <w:sz w:val="32"/>
          <w:szCs w:val="32"/>
          <w:lang w:eastAsia="sk-SK"/>
        </w:rPr>
        <w:t>za rok 2025</w:t>
      </w:r>
    </w:p>
    <w:p w14:paraId="7211EC8C" w14:textId="58A1B79E" w:rsidR="00184FF0" w:rsidRPr="00184FF0" w:rsidRDefault="00184FF0" w:rsidP="00184FF0">
      <w:pPr>
        <w:spacing w:after="0" w:line="240" w:lineRule="auto"/>
        <w:ind w:left="567"/>
        <w:jc w:val="center"/>
        <w:rPr>
          <w:rFonts w:ascii="Calibri" w:eastAsia="Times New Roman" w:hAnsi="Calibri" w:cs="Calibri"/>
          <w:sz w:val="20"/>
          <w:szCs w:val="20"/>
          <w:lang w:eastAsia="sk-SK"/>
        </w:rPr>
      </w:pPr>
      <w:r w:rsidRPr="00184FF0">
        <w:rPr>
          <w:rFonts w:ascii="Calibri" w:eastAsia="Times New Roman" w:hAnsi="Calibri" w:cs="Calibri"/>
          <w:sz w:val="20"/>
          <w:szCs w:val="20"/>
          <w:lang w:eastAsia="sk-SK"/>
        </w:rPr>
        <w:t>zverejnenie údajov o podiele jednotlivých druhov primárnych energetických zdrojov dodávky elektriny a jej environmentálnych vplyvoch podľa §34 ods. 2, písm. c) zákona o energetike č. 251/2012 Z. z.</w:t>
      </w:r>
    </w:p>
    <w:p w14:paraId="4BFC49DE" w14:textId="77777777" w:rsidR="00184FF0" w:rsidRDefault="00184FF0" w:rsidP="00184FF0">
      <w:pPr>
        <w:spacing w:after="0" w:line="240" w:lineRule="auto"/>
        <w:ind w:left="567"/>
        <w:jc w:val="center"/>
        <w:rPr>
          <w:rFonts w:ascii="Calibri" w:eastAsia="Times New Roman" w:hAnsi="Calibri" w:cs="Calibri"/>
          <w:b/>
          <w:bCs/>
          <w:lang w:eastAsia="sk-SK"/>
        </w:rPr>
      </w:pPr>
    </w:p>
    <w:p w14:paraId="08E9EE4C" w14:textId="77777777" w:rsid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34AC99B1" w14:textId="7D3C2F2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noProof/>
          <w:lang w:eastAsia="sk-SK"/>
        </w:rPr>
      </w:pPr>
      <w:r w:rsidRPr="00184FF0">
        <w:rPr>
          <w:rFonts w:ascii="Calibri" w:eastAsia="Times New Roman" w:hAnsi="Calibri" w:cs="Calibri"/>
          <w:lang w:eastAsia="sk-SK"/>
        </w:rPr>
        <w:t>Účelom</w:t>
      </w:r>
      <w:r w:rsidRPr="00184FF0">
        <w:rPr>
          <w:rFonts w:ascii="Calibri" w:eastAsia="Times New Roman" w:hAnsi="Calibri" w:cs="Calibri"/>
          <w:lang w:eastAsia="sk-SK"/>
        </w:rPr>
        <w:t xml:space="preserve"> tohto </w:t>
      </w:r>
      <w:r>
        <w:rPr>
          <w:rFonts w:ascii="Calibri" w:eastAsia="Times New Roman" w:hAnsi="Calibri" w:cs="Calibri"/>
          <w:lang w:eastAsia="sk-SK"/>
        </w:rPr>
        <w:t>dokumentu</w:t>
      </w:r>
      <w:r w:rsidRPr="00184FF0">
        <w:rPr>
          <w:rFonts w:ascii="Calibri" w:eastAsia="Times New Roman" w:hAnsi="Calibri" w:cs="Calibri"/>
          <w:lang w:eastAsia="sk-SK"/>
        </w:rPr>
        <w:t xml:space="preserve"> je poskytnúť odberateľovi elektriny transparentné informácie o tom, z akých primárnych zdrojov pochádza elektrina, ktorú odoberá, a aký vplyv má jej výroba na životné prostredie.</w:t>
      </w:r>
      <w:r w:rsidRPr="00184FF0">
        <w:rPr>
          <w:rFonts w:ascii="Calibri" w:eastAsia="Times New Roman" w:hAnsi="Calibri" w:cs="Calibri"/>
          <w:noProof/>
          <w:lang w:eastAsia="sk-SK"/>
        </w:rPr>
        <w:t xml:space="preserve"> </w:t>
      </w:r>
    </w:p>
    <w:p w14:paraId="5C90E541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noProof/>
          <w:lang w:eastAsia="sk-SK"/>
        </w:rPr>
      </w:pPr>
    </w:p>
    <w:p w14:paraId="26D7D8B3" w14:textId="77777777" w:rsidR="00077755" w:rsidRDefault="00077755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</w:p>
    <w:p w14:paraId="3DB7D32B" w14:textId="4F706B79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  <w:r w:rsidRPr="00184FF0">
        <w:rPr>
          <w:rFonts w:ascii="Calibri" w:eastAsia="Times New Roman" w:hAnsi="Calibri" w:cs="Calibri"/>
          <w:b/>
          <w:bCs/>
          <w:lang w:eastAsia="sk-SK"/>
        </w:rPr>
        <w:t>Zvyškový energetický mix SR</w:t>
      </w:r>
    </w:p>
    <w:p w14:paraId="502CE951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  <w:r w:rsidRPr="00184FF0">
        <w:rPr>
          <w:rFonts w:ascii="Calibri" w:eastAsia="Times New Roman" w:hAnsi="Calibri" w:cs="Calibri"/>
          <w:lang w:eastAsia="sk-SK"/>
        </w:rPr>
        <w:t>Stanovuje OKTE, a.s. (organizátor krátkodobého trhu s elektrinou) pre celé Slovensko. Predstavuje zloženie elektriny, ktorá nebola pokrytá zárukami pôvodu z OZE. Je to „predvolený“ mix pre každého odberateľa, ktorý si nekupuje a neuplatňuje záruky pôvodu z OZE alebo špecifický „zelený“ produkt.</w:t>
      </w:r>
    </w:p>
    <w:p w14:paraId="65FFBA51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1E9B92DD" w14:textId="295AFB69" w:rsidR="00184FF0" w:rsidRPr="00184FF0" w:rsidRDefault="00184FF0" w:rsidP="00184FF0">
      <w:pPr>
        <w:spacing w:after="0" w:line="240" w:lineRule="auto"/>
        <w:ind w:left="567"/>
        <w:jc w:val="center"/>
        <w:rPr>
          <w:rFonts w:ascii="Calibri" w:eastAsia="Times New Roman" w:hAnsi="Calibri" w:cs="Calibri"/>
          <w:lang w:eastAsia="sk-SK"/>
        </w:rPr>
      </w:pPr>
      <w:r w:rsidRPr="00184FF0">
        <w:rPr>
          <w:rFonts w:ascii="Aptos" w:eastAsia="Times New Roman" w:hAnsi="Aptos" w:cs="Times New Roman"/>
          <w:noProof/>
          <w:kern w:val="2"/>
          <w:sz w:val="24"/>
          <w:szCs w:val="24"/>
        </w:rPr>
        <w:drawing>
          <wp:inline distT="0" distB="0" distL="0" distR="0" wp14:anchorId="11F5C063" wp14:editId="04B43C5A">
            <wp:extent cx="4676775" cy="3457085"/>
            <wp:effectExtent l="0" t="0" r="0" b="0"/>
            <wp:docPr id="1844637832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168" cy="346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2C6F5" w14:textId="77777777" w:rsid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</w:p>
    <w:p w14:paraId="515DEF2B" w14:textId="7C7F4BFB" w:rsidR="00184FF0" w:rsidRPr="00184FF0" w:rsidRDefault="00184FF0" w:rsidP="00184FF0">
      <w:pPr>
        <w:spacing w:after="0" w:line="240" w:lineRule="auto"/>
        <w:ind w:left="567"/>
        <w:jc w:val="center"/>
        <w:rPr>
          <w:rFonts w:ascii="Calibri" w:eastAsia="Times New Roman" w:hAnsi="Calibri" w:cs="Calibri"/>
          <w:b/>
          <w:bCs/>
          <w:lang w:eastAsia="sk-SK"/>
        </w:rPr>
      </w:pPr>
      <w:r w:rsidRPr="00184FF0">
        <w:rPr>
          <w:rFonts w:ascii="Calibri" w:eastAsia="Times New Roman" w:hAnsi="Calibri" w:cs="Calibri"/>
          <w:b/>
          <w:bCs/>
          <w:lang w:eastAsia="sk-SK"/>
        </w:rPr>
        <w:t>OZE celkom: 11,93%, Jadrové zdroje: 35,68%, Fosílne zdroje celkom: 52,39%</w:t>
      </w:r>
    </w:p>
    <w:p w14:paraId="1BAD1805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5A7F31A9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</w:p>
    <w:p w14:paraId="5EB67C70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</w:p>
    <w:p w14:paraId="0AD0547D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</w:p>
    <w:p w14:paraId="7545FFC5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</w:p>
    <w:p w14:paraId="197229E5" w14:textId="76009FFF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  <w:r w:rsidRPr="00184FF0">
        <w:rPr>
          <w:rFonts w:ascii="Calibri" w:eastAsia="Times New Roman" w:hAnsi="Calibri" w:cs="Calibri"/>
          <w:b/>
          <w:bCs/>
          <w:lang w:eastAsia="sk-SK"/>
        </w:rPr>
        <w:t>Energetický mix dodávateľa</w:t>
      </w:r>
    </w:p>
    <w:p w14:paraId="4BBDFD73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  <w:r w:rsidRPr="00184FF0">
        <w:rPr>
          <w:rFonts w:ascii="Calibri" w:eastAsia="Times New Roman" w:hAnsi="Calibri" w:cs="Calibri"/>
          <w:lang w:eastAsia="sk-SK"/>
        </w:rPr>
        <w:t xml:space="preserve">Tento graf zobrazuje zloženie všetkej elektriny dodanej dodávateľom, ktorá zahŕňa elektrinu zo zvyškového mixu a objem elektriny, pre ktorý boli uplatnené záruky pôvodu z OZE alebo jadra. Presný energetický mix konkrétneho odberateľa so započítanými zárukami pôvodu je uvedený na faktúre. </w:t>
      </w:r>
    </w:p>
    <w:p w14:paraId="52B0F4A6" w14:textId="77777777" w:rsid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5221B0A5" w14:textId="77777777" w:rsid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376AFCCD" w14:textId="77777777" w:rsid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1466A71D" w14:textId="77777777" w:rsid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0F2E4B2B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69A67645" w14:textId="0D1F1AC3" w:rsidR="00184FF0" w:rsidRPr="00184FF0" w:rsidRDefault="00184FF0" w:rsidP="00184FF0">
      <w:pPr>
        <w:spacing w:after="0" w:line="240" w:lineRule="auto"/>
        <w:ind w:left="567"/>
        <w:jc w:val="center"/>
        <w:rPr>
          <w:rFonts w:ascii="Calibri" w:eastAsia="Times New Roman" w:hAnsi="Calibri" w:cs="Calibri"/>
          <w:lang w:eastAsia="sk-SK"/>
        </w:rPr>
      </w:pPr>
      <w:r w:rsidRPr="00184FF0">
        <w:rPr>
          <w:rFonts w:ascii="Aptos" w:eastAsia="Times New Roman" w:hAnsi="Aptos" w:cs="Times New Roman"/>
          <w:noProof/>
          <w:kern w:val="2"/>
          <w:sz w:val="24"/>
          <w:szCs w:val="24"/>
        </w:rPr>
        <w:drawing>
          <wp:inline distT="0" distB="0" distL="0" distR="0" wp14:anchorId="1BE25967" wp14:editId="349B8073">
            <wp:extent cx="5564832" cy="3971925"/>
            <wp:effectExtent l="0" t="0" r="0" b="0"/>
            <wp:docPr id="216063209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9014" cy="397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41979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</w:p>
    <w:p w14:paraId="6EAFA5F8" w14:textId="77777777" w:rsid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</w:p>
    <w:p w14:paraId="1C419BA3" w14:textId="77777777" w:rsid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</w:p>
    <w:p w14:paraId="4821F9B8" w14:textId="08CA0D88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184FF0">
        <w:rPr>
          <w:rFonts w:ascii="Calibri" w:eastAsia="Times New Roman" w:hAnsi="Calibri" w:cs="Calibri"/>
          <w:b/>
          <w:bCs/>
          <w:lang w:eastAsia="sk-SK"/>
        </w:rPr>
        <w:t>Podiel OZE v energetickom mixe dodávateľa</w:t>
      </w:r>
    </w:p>
    <w:p w14:paraId="5A75DB9D" w14:textId="77777777" w:rsidR="00184FF0" w:rsidRPr="00184FF0" w:rsidRDefault="00184FF0" w:rsidP="00184FF0">
      <w:pPr>
        <w:spacing w:after="0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  <w:r w:rsidRPr="00184FF0">
        <w:rPr>
          <w:rFonts w:ascii="Calibri" w:eastAsia="Times New Roman" w:hAnsi="Calibri" w:cs="Calibri"/>
          <w:lang w:eastAsia="sk-SK"/>
        </w:rPr>
        <w:t xml:space="preserve">Tento graf zobrazuje zloženie elektriny pokrytej zárukami z OZE. </w:t>
      </w:r>
    </w:p>
    <w:p w14:paraId="7676F2B8" w14:textId="7FDB5ED3" w:rsidR="00184FF0" w:rsidRPr="00184FF0" w:rsidRDefault="00184FF0" w:rsidP="00184FF0">
      <w:pPr>
        <w:spacing w:before="100" w:beforeAutospacing="1" w:after="100" w:afterAutospacing="1" w:line="240" w:lineRule="auto"/>
        <w:ind w:left="567"/>
        <w:jc w:val="center"/>
        <w:outlineLvl w:val="1"/>
        <w:rPr>
          <w:rFonts w:ascii="Calibri" w:eastAsia="Times New Roman" w:hAnsi="Calibri" w:cs="Calibri"/>
          <w:b/>
          <w:bCs/>
          <w:lang w:eastAsia="sk-SK"/>
        </w:rPr>
      </w:pPr>
      <w:r w:rsidRPr="00184FF0">
        <w:rPr>
          <w:rFonts w:ascii="Aptos" w:eastAsia="Times New Roman" w:hAnsi="Aptos" w:cs="Times New Roman"/>
          <w:noProof/>
          <w:kern w:val="2"/>
          <w:sz w:val="24"/>
          <w:szCs w:val="24"/>
        </w:rPr>
        <w:drawing>
          <wp:inline distT="0" distB="0" distL="0" distR="0" wp14:anchorId="558C8A2D" wp14:editId="4A465F77">
            <wp:extent cx="3171825" cy="3041476"/>
            <wp:effectExtent l="0" t="0" r="0" b="0"/>
            <wp:docPr id="165621648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384" cy="3044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D2A19" w14:textId="77777777" w:rsidR="00184FF0" w:rsidRDefault="00184FF0" w:rsidP="00184FF0">
      <w:pPr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  <w:b/>
          <w:bCs/>
          <w:lang w:eastAsia="sk-SK"/>
        </w:rPr>
      </w:pPr>
    </w:p>
    <w:p w14:paraId="2C898C12" w14:textId="77777777" w:rsidR="00184FF0" w:rsidRDefault="00184FF0" w:rsidP="00184FF0">
      <w:pPr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  <w:b/>
          <w:bCs/>
          <w:lang w:eastAsia="sk-SK"/>
        </w:rPr>
      </w:pPr>
    </w:p>
    <w:p w14:paraId="4C4A7122" w14:textId="7C6CD53B" w:rsidR="00184FF0" w:rsidRPr="00184FF0" w:rsidRDefault="00184FF0" w:rsidP="00184FF0">
      <w:pPr>
        <w:spacing w:before="100" w:beforeAutospacing="1" w:after="100" w:afterAutospacing="1" w:line="240" w:lineRule="auto"/>
        <w:ind w:left="567"/>
        <w:jc w:val="both"/>
        <w:outlineLvl w:val="1"/>
        <w:rPr>
          <w:rFonts w:ascii="Calibri" w:eastAsia="Times New Roman" w:hAnsi="Calibri" w:cs="Calibri"/>
          <w:b/>
          <w:bCs/>
          <w:lang w:eastAsia="sk-SK"/>
        </w:rPr>
      </w:pPr>
      <w:r w:rsidRPr="00184FF0">
        <w:rPr>
          <w:rFonts w:ascii="Calibri" w:eastAsia="Times New Roman" w:hAnsi="Calibri" w:cs="Calibri"/>
          <w:b/>
          <w:bCs/>
          <w:lang w:eastAsia="sk-SK"/>
        </w:rPr>
        <w:t>Vplyv na životné prostredie (CO₂ a rádioaktívny odpad)</w:t>
      </w:r>
    </w:p>
    <w:tbl>
      <w:tblPr>
        <w:tblStyle w:val="Tabukasmriekou1svetl"/>
        <w:tblW w:w="9539" w:type="dxa"/>
        <w:tblInd w:w="817" w:type="dxa"/>
        <w:tblLook w:val="04A0" w:firstRow="1" w:lastRow="0" w:firstColumn="1" w:lastColumn="0" w:noHBand="0" w:noVBand="1"/>
      </w:tblPr>
      <w:tblGrid>
        <w:gridCol w:w="3165"/>
        <w:gridCol w:w="3149"/>
        <w:gridCol w:w="3225"/>
      </w:tblGrid>
      <w:tr w:rsidR="00184FF0" w:rsidRPr="00184FF0" w14:paraId="0B0E75D4" w14:textId="77777777" w:rsidTr="00184F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5" w:type="dxa"/>
            <w:vAlign w:val="center"/>
            <w:hideMark/>
          </w:tcPr>
          <w:p w14:paraId="5EE2FB98" w14:textId="77777777" w:rsidR="00184FF0" w:rsidRPr="00184FF0" w:rsidRDefault="00184FF0" w:rsidP="00184FF0">
            <w:pPr>
              <w:ind w:left="567"/>
              <w:rPr>
                <w:rFonts w:ascii="Calibri" w:eastAsia="Times New Roman" w:hAnsi="Calibri" w:cs="Calibri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14:paraId="44DAD2AE" w14:textId="77777777" w:rsidR="00184FF0" w:rsidRPr="00184FF0" w:rsidRDefault="00184FF0" w:rsidP="00184FF0">
            <w:pPr>
              <w:ind w:left="13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sk-SK"/>
              </w:rPr>
            </w:pPr>
            <w:r w:rsidRPr="00184FF0">
              <w:rPr>
                <w:rFonts w:ascii="Calibri" w:eastAsia="Times New Roman" w:hAnsi="Calibri" w:cs="Calibri"/>
                <w:lang w:eastAsia="sk-SK"/>
              </w:rPr>
              <w:t>Zvyškový energetický mix</w:t>
            </w:r>
          </w:p>
        </w:tc>
        <w:tc>
          <w:tcPr>
            <w:tcW w:w="0" w:type="auto"/>
            <w:vAlign w:val="center"/>
            <w:hideMark/>
          </w:tcPr>
          <w:p w14:paraId="19D13C99" w14:textId="77777777" w:rsidR="00184FF0" w:rsidRPr="00184FF0" w:rsidRDefault="00184FF0" w:rsidP="00184F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sk-SK"/>
              </w:rPr>
            </w:pPr>
            <w:r w:rsidRPr="00184FF0">
              <w:rPr>
                <w:rFonts w:ascii="Calibri" w:eastAsia="Times New Roman" w:hAnsi="Calibri" w:cs="Calibri"/>
                <w:lang w:eastAsia="sk-SK"/>
              </w:rPr>
              <w:t>Energetický mix dodávateľa</w:t>
            </w:r>
          </w:p>
        </w:tc>
      </w:tr>
      <w:tr w:rsidR="00184FF0" w:rsidRPr="00184FF0" w14:paraId="0DDECF1F" w14:textId="77777777" w:rsidTr="00184FF0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5" w:type="dxa"/>
            <w:vAlign w:val="center"/>
            <w:hideMark/>
          </w:tcPr>
          <w:p w14:paraId="44CAFAFD" w14:textId="77777777" w:rsidR="00184FF0" w:rsidRPr="00184FF0" w:rsidRDefault="00184FF0" w:rsidP="00184FF0">
            <w:pPr>
              <w:rPr>
                <w:rFonts w:ascii="Calibri" w:eastAsia="Times New Roman" w:hAnsi="Calibri" w:cs="Calibri"/>
                <w:lang w:eastAsia="sk-SK"/>
              </w:rPr>
            </w:pPr>
            <w:r w:rsidRPr="00184FF0">
              <w:rPr>
                <w:rFonts w:ascii="Calibri" w:eastAsia="Times New Roman" w:hAnsi="Calibri" w:cs="Calibri"/>
                <w:lang w:eastAsia="sk-SK"/>
              </w:rPr>
              <w:t>CO₂ (g CO₂/kWh)</w:t>
            </w:r>
          </w:p>
        </w:tc>
        <w:tc>
          <w:tcPr>
            <w:tcW w:w="0" w:type="auto"/>
            <w:vAlign w:val="center"/>
            <w:hideMark/>
          </w:tcPr>
          <w:p w14:paraId="3A0BA5DC" w14:textId="77777777" w:rsidR="00184FF0" w:rsidRPr="00184FF0" w:rsidRDefault="00184FF0" w:rsidP="00184FF0">
            <w:pPr>
              <w:ind w:left="13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sk-SK"/>
              </w:rPr>
            </w:pPr>
            <w:r w:rsidRPr="00184FF0">
              <w:rPr>
                <w:rFonts w:ascii="Calibri" w:eastAsia="Times New Roman" w:hAnsi="Calibri" w:cs="Calibri"/>
                <w:lang w:eastAsia="sk-SK"/>
              </w:rPr>
              <w:t>350,7</w:t>
            </w:r>
          </w:p>
        </w:tc>
        <w:tc>
          <w:tcPr>
            <w:tcW w:w="0" w:type="auto"/>
            <w:vAlign w:val="center"/>
            <w:hideMark/>
          </w:tcPr>
          <w:p w14:paraId="6BE6BC9D" w14:textId="77777777" w:rsidR="00184FF0" w:rsidRPr="00184FF0" w:rsidRDefault="00184FF0" w:rsidP="00184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sk-SK"/>
              </w:rPr>
            </w:pPr>
            <w:r w:rsidRPr="00184FF0">
              <w:rPr>
                <w:rFonts w:ascii="Calibri" w:eastAsia="Times New Roman" w:hAnsi="Calibri" w:cs="Calibri"/>
                <w:lang w:eastAsia="sk-SK"/>
              </w:rPr>
              <w:t>339,02</w:t>
            </w:r>
          </w:p>
        </w:tc>
      </w:tr>
      <w:tr w:rsidR="00184FF0" w:rsidRPr="00184FF0" w14:paraId="6BCE0934" w14:textId="77777777" w:rsidTr="00184FF0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5" w:type="dxa"/>
            <w:vAlign w:val="center"/>
            <w:hideMark/>
          </w:tcPr>
          <w:p w14:paraId="37BC83F2" w14:textId="77777777" w:rsidR="00184FF0" w:rsidRPr="00184FF0" w:rsidRDefault="00184FF0" w:rsidP="00184FF0">
            <w:pPr>
              <w:rPr>
                <w:rFonts w:ascii="Calibri" w:eastAsia="Times New Roman" w:hAnsi="Calibri" w:cs="Calibri"/>
                <w:lang w:eastAsia="sk-SK"/>
              </w:rPr>
            </w:pPr>
            <w:r w:rsidRPr="00184FF0">
              <w:rPr>
                <w:rFonts w:ascii="Calibri" w:eastAsia="Times New Roman" w:hAnsi="Calibri" w:cs="Calibri"/>
                <w:lang w:eastAsia="sk-SK"/>
              </w:rPr>
              <w:t>Rádioaktívny odpad (mg/kWh)</w:t>
            </w:r>
          </w:p>
        </w:tc>
        <w:tc>
          <w:tcPr>
            <w:tcW w:w="0" w:type="auto"/>
            <w:vAlign w:val="center"/>
            <w:hideMark/>
          </w:tcPr>
          <w:p w14:paraId="561EB0C8" w14:textId="77777777" w:rsidR="00184FF0" w:rsidRPr="00184FF0" w:rsidRDefault="00184FF0" w:rsidP="00184FF0">
            <w:pPr>
              <w:ind w:left="13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sk-SK"/>
              </w:rPr>
            </w:pPr>
            <w:r w:rsidRPr="00184FF0">
              <w:rPr>
                <w:rFonts w:ascii="Calibri" w:eastAsia="Times New Roman" w:hAnsi="Calibri" w:cs="Calibri"/>
                <w:lang w:eastAsia="sk-SK"/>
              </w:rPr>
              <w:t>1,2</w:t>
            </w:r>
          </w:p>
        </w:tc>
        <w:tc>
          <w:tcPr>
            <w:tcW w:w="0" w:type="auto"/>
            <w:vAlign w:val="center"/>
            <w:hideMark/>
          </w:tcPr>
          <w:p w14:paraId="7270C8A3" w14:textId="77777777" w:rsidR="00184FF0" w:rsidRPr="00184FF0" w:rsidRDefault="00184FF0" w:rsidP="00184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sk-SK"/>
              </w:rPr>
            </w:pPr>
            <w:r w:rsidRPr="00184FF0">
              <w:rPr>
                <w:rFonts w:ascii="Calibri" w:eastAsia="Times New Roman" w:hAnsi="Calibri" w:cs="Calibri"/>
                <w:lang w:eastAsia="sk-SK"/>
              </w:rPr>
              <w:t>1,16</w:t>
            </w:r>
          </w:p>
        </w:tc>
      </w:tr>
    </w:tbl>
    <w:p w14:paraId="5A43F09F" w14:textId="77777777" w:rsidR="00184FF0" w:rsidRPr="00184FF0" w:rsidRDefault="00184FF0" w:rsidP="00184FF0">
      <w:pPr>
        <w:spacing w:before="100" w:beforeAutospacing="1" w:after="100" w:afterAutospacing="1" w:line="240" w:lineRule="auto"/>
        <w:ind w:left="567"/>
        <w:jc w:val="both"/>
        <w:rPr>
          <w:rFonts w:ascii="Calibri" w:eastAsia="Times New Roman" w:hAnsi="Calibri" w:cs="Calibri"/>
          <w:i/>
          <w:iCs/>
          <w:sz w:val="20"/>
          <w:szCs w:val="20"/>
          <w:lang w:eastAsia="sk-SK"/>
        </w:rPr>
      </w:pPr>
      <w:r w:rsidRPr="00184FF0">
        <w:rPr>
          <w:rFonts w:ascii="Calibri" w:eastAsia="Times New Roman" w:hAnsi="Calibri" w:cs="Calibri"/>
          <w:i/>
          <w:iCs/>
          <w:sz w:val="20"/>
          <w:szCs w:val="20"/>
          <w:lang w:eastAsia="sk-SK"/>
        </w:rPr>
        <w:t>Poznámka: hodnoty zverejňuje OKTE, a.s. pre zvyškový mix; hodnoty pre mix dodávateľa sú prepočítané podľa skutočného zloženia nakúpenej elektriny dodávateľa za predchádzajúci rok.</w:t>
      </w:r>
    </w:p>
    <w:p w14:paraId="3DF9FD03" w14:textId="77777777" w:rsidR="00184FF0" w:rsidRDefault="00184FF0" w:rsidP="00184FF0">
      <w:pPr>
        <w:spacing w:before="100" w:beforeAutospacing="1" w:after="100" w:afterAutospacing="1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7B72F0C7" w14:textId="2384F00E" w:rsidR="00184FF0" w:rsidRPr="00184FF0" w:rsidRDefault="00184FF0" w:rsidP="00184FF0">
      <w:pPr>
        <w:spacing w:before="100" w:beforeAutospacing="1" w:after="100" w:afterAutospacing="1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  <w:r w:rsidRPr="00184FF0">
        <w:rPr>
          <w:rFonts w:ascii="Calibri" w:eastAsia="Times New Roman" w:hAnsi="Calibri" w:cs="Calibri"/>
          <w:lang w:eastAsia="sk-SK"/>
        </w:rPr>
        <w:t xml:space="preserve">Energetický mix a emisné hodnoty zverejňovane OKTE: </w:t>
      </w:r>
      <w:hyperlink r:id="rId9" w:history="1">
        <w:r w:rsidRPr="00184FF0">
          <w:rPr>
            <w:rFonts w:ascii="Calibri" w:eastAsia="Times New Roman" w:hAnsi="Calibri" w:cs="Calibri"/>
            <w:color w:val="0000FF"/>
            <w:u w:val="single"/>
            <w:lang w:eastAsia="sk-SK"/>
          </w:rPr>
          <w:t>https://www.okte.sk/sk/zaruky-povodu/narodny-energeticky-mix/2025/</w:t>
        </w:r>
      </w:hyperlink>
    </w:p>
    <w:p w14:paraId="038C0D84" w14:textId="77777777" w:rsidR="00184FF0" w:rsidRPr="00184FF0" w:rsidRDefault="00184FF0" w:rsidP="00184FF0">
      <w:pPr>
        <w:spacing w:before="100" w:beforeAutospacing="1" w:after="100" w:afterAutospacing="1" w:line="240" w:lineRule="auto"/>
        <w:ind w:left="567"/>
        <w:jc w:val="both"/>
        <w:rPr>
          <w:rFonts w:ascii="Calibri" w:eastAsia="Times New Roman" w:hAnsi="Calibri" w:cs="Calibri"/>
          <w:lang w:eastAsia="sk-SK"/>
        </w:rPr>
      </w:pPr>
      <w:r w:rsidRPr="00184FF0">
        <w:rPr>
          <w:rFonts w:ascii="Calibri" w:eastAsia="Times New Roman" w:hAnsi="Calibri" w:cs="Calibri"/>
          <w:lang w:eastAsia="sk-SK"/>
        </w:rPr>
        <w:t>Tento informačný dokument sa aktualizuje raz ročne, vždy po zverejnení ročných údajov OKTE (zvyčajne v 2. polroku nasledujúceho kalendárneho roka).</w:t>
      </w:r>
    </w:p>
    <w:p w14:paraId="7A3D061E" w14:textId="77777777" w:rsidR="003314A8" w:rsidRPr="003314A8" w:rsidRDefault="003314A8" w:rsidP="00184FF0">
      <w:pPr>
        <w:ind w:left="567"/>
        <w:jc w:val="both"/>
      </w:pPr>
    </w:p>
    <w:sectPr w:rsidR="003314A8" w:rsidRPr="003314A8" w:rsidSect="00184FF0">
      <w:headerReference w:type="default" r:id="rId10"/>
      <w:footerReference w:type="default" r:id="rId11"/>
      <w:pgSz w:w="11906" w:h="16838"/>
      <w:pgMar w:top="1560" w:right="991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6A800" w14:textId="77777777" w:rsidR="00184FF0" w:rsidRDefault="00184FF0" w:rsidP="00897181">
      <w:pPr>
        <w:spacing w:after="0" w:line="240" w:lineRule="auto"/>
      </w:pPr>
      <w:r>
        <w:separator/>
      </w:r>
    </w:p>
  </w:endnote>
  <w:endnote w:type="continuationSeparator" w:id="0">
    <w:p w14:paraId="13F9EC15" w14:textId="77777777" w:rsidR="00184FF0" w:rsidRDefault="00184FF0" w:rsidP="00897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615C1" w14:textId="77777777" w:rsidR="00897181" w:rsidRDefault="00DC1901">
    <w:pPr>
      <w:pStyle w:val="Pta"/>
    </w:pPr>
    <w:r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76C45FDE" wp14:editId="5E305F2A">
          <wp:simplePos x="0" y="0"/>
          <wp:positionH relativeFrom="column">
            <wp:posOffset>87630</wp:posOffset>
          </wp:positionH>
          <wp:positionV relativeFrom="paragraph">
            <wp:posOffset>-165735</wp:posOffset>
          </wp:positionV>
          <wp:extent cx="6690847" cy="513715"/>
          <wp:effectExtent l="0" t="0" r="0" b="0"/>
          <wp:wrapNone/>
          <wp:docPr id="670046539" name="Obrázok 0" descr="hlavickovy_papier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kovy_papier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2149" cy="5322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7181"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46393" w14:textId="77777777" w:rsidR="00184FF0" w:rsidRDefault="00184FF0" w:rsidP="00897181">
      <w:pPr>
        <w:spacing w:after="0" w:line="240" w:lineRule="auto"/>
      </w:pPr>
      <w:r>
        <w:separator/>
      </w:r>
    </w:p>
  </w:footnote>
  <w:footnote w:type="continuationSeparator" w:id="0">
    <w:p w14:paraId="5C6550C6" w14:textId="77777777" w:rsidR="00184FF0" w:rsidRDefault="00184FF0" w:rsidP="00897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0C47D" w14:textId="77777777" w:rsidR="00897181" w:rsidRDefault="00897181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7216" behindDoc="0" locked="0" layoutInCell="1" allowOverlap="1" wp14:anchorId="6D0C3E4B" wp14:editId="6D6CA83E">
          <wp:simplePos x="0" y="0"/>
          <wp:positionH relativeFrom="column">
            <wp:posOffset>354330</wp:posOffset>
          </wp:positionH>
          <wp:positionV relativeFrom="paragraph">
            <wp:posOffset>-354330</wp:posOffset>
          </wp:positionV>
          <wp:extent cx="723900" cy="835268"/>
          <wp:effectExtent l="0" t="0" r="0" b="0"/>
          <wp:wrapNone/>
          <wp:docPr id="1481993432" name="Obrázok 1481993432" descr="C:\Users\moravansky\AppData\Local\Microsoft\Windows\Temporary Internet Files\Content.Word\logo_hlavic_papi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oravansky\AppData\Local\Microsoft\Windows\Temporary Internet Files\Content.Word\logo_hlavic_papi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7111" cy="8389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FF0"/>
    <w:rsid w:val="00077755"/>
    <w:rsid w:val="000D5BE4"/>
    <w:rsid w:val="00106A14"/>
    <w:rsid w:val="00184FF0"/>
    <w:rsid w:val="001C062B"/>
    <w:rsid w:val="001D4F37"/>
    <w:rsid w:val="00221FC9"/>
    <w:rsid w:val="002326B7"/>
    <w:rsid w:val="00242616"/>
    <w:rsid w:val="00242ADB"/>
    <w:rsid w:val="002D654F"/>
    <w:rsid w:val="002F07CA"/>
    <w:rsid w:val="003314A8"/>
    <w:rsid w:val="0041272E"/>
    <w:rsid w:val="00563581"/>
    <w:rsid w:val="005D7E1A"/>
    <w:rsid w:val="00615C35"/>
    <w:rsid w:val="007B62B4"/>
    <w:rsid w:val="007D04AF"/>
    <w:rsid w:val="0089277E"/>
    <w:rsid w:val="00897181"/>
    <w:rsid w:val="008F4758"/>
    <w:rsid w:val="008F4CDD"/>
    <w:rsid w:val="009B5F92"/>
    <w:rsid w:val="00B05D14"/>
    <w:rsid w:val="00BA7323"/>
    <w:rsid w:val="00C20FFE"/>
    <w:rsid w:val="00D47845"/>
    <w:rsid w:val="00DC1901"/>
    <w:rsid w:val="00DF7453"/>
    <w:rsid w:val="00E22D4B"/>
    <w:rsid w:val="00E74D25"/>
    <w:rsid w:val="00F72B07"/>
    <w:rsid w:val="00F9302E"/>
    <w:rsid w:val="00FB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57DD0"/>
  <w15:docId w15:val="{BDD7C9C3-F8FD-4F87-811B-BB8E9BA8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D4F3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97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97181"/>
  </w:style>
  <w:style w:type="paragraph" w:styleId="Pta">
    <w:name w:val="footer"/>
    <w:basedOn w:val="Normlny"/>
    <w:link w:val="PtaChar"/>
    <w:uiPriority w:val="99"/>
    <w:unhideWhenUsed/>
    <w:rsid w:val="00897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97181"/>
  </w:style>
  <w:style w:type="paragraph" w:styleId="Textbubliny">
    <w:name w:val="Balloon Text"/>
    <w:basedOn w:val="Normlny"/>
    <w:link w:val="TextbublinyChar"/>
    <w:uiPriority w:val="99"/>
    <w:semiHidden/>
    <w:unhideWhenUsed/>
    <w:rsid w:val="00897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7181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2D654F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2D654F"/>
    <w:pPr>
      <w:spacing w:after="0" w:line="240" w:lineRule="auto"/>
    </w:pPr>
  </w:style>
  <w:style w:type="paragraph" w:styleId="Normlnywebov">
    <w:name w:val="Normal (Web)"/>
    <w:basedOn w:val="Normlny"/>
    <w:uiPriority w:val="99"/>
    <w:unhideWhenUsed/>
    <w:rsid w:val="00615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Tabukasmriekou1svetl">
    <w:name w:val="Grid Table 1 Light"/>
    <w:basedOn w:val="Normlnatabuka"/>
    <w:uiPriority w:val="46"/>
    <w:rsid w:val="00184FF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73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okte.sk/sk/zaruky-povodu/narodny-energeticky-mix/2025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HTES10\Share\1.%20RO&#268;N&#201;+MESA&#268;N&#201;%20&#250;lohy\06_j&#250;n\01_Energetick&#253;%20mix\2026\c.%20VA&#352;A\hlavickovy%20papier%20VASA%20&#269;ist&#253;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papier VASA čistý.dotx</Template>
  <TotalTime>11</TotalTime>
  <Pages>3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JandL, marketing a reklama, s.r.o.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Michalechova</dc:creator>
  <cp:lastModifiedBy>Eva Michalechova</cp:lastModifiedBy>
  <cp:revision>2</cp:revision>
  <cp:lastPrinted>2011-03-28T13:11:00Z</cp:lastPrinted>
  <dcterms:created xsi:type="dcterms:W3CDTF">2026-06-29T13:05:00Z</dcterms:created>
  <dcterms:modified xsi:type="dcterms:W3CDTF">2026-06-29T13:16:00Z</dcterms:modified>
</cp:coreProperties>
</file>